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44" w:rsidRPr="001D2A44" w:rsidRDefault="001D2A44" w:rsidP="001D2A44">
      <w:pPr>
        <w:spacing w:after="331" w:line="4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</w:pPr>
      <w:r w:rsidRPr="001D2A44"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  <w:t>Постановление Правительства РФ от 03.09.2010 N 681 (ред. от 01.10.2013)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0" w:name="100001"/>
      <w:bookmarkEnd w:id="0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ПРАВИТЕЛЬСТВО РОССИЙСКОЙ ФЕДЕРАЦИИ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" w:name="100002"/>
      <w:bookmarkEnd w:id="1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3 сентября 2010 г. N 681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 УТВЕРЖДЕНИИ ПРАВИЛ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ОБРАЩЕНИЯ С ОТХОДАМИ ПРОИЗВОДСТВА И ПОТРЕБЛЕНИЯ В ЧАСТИ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ОСВЕТИТЕЛЬНЫХ УСТРОЙСТВ, ЭЛЕКТРИЧЕСКИХ ЛАМП, НЕНАДЛЕЖАЩИЕ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СБОР, НАКОПЛЕНИЕ, ИСПОЛЬЗОВАНИЕ, ОБЕЗВРЕЖИВАНИЕ,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ТРАНСПОРТИРОВАНИЕ И РАЗМЕЩЕНИЕ КОТОРЫХ МОЖЕТ ПОВЛЕЧЬ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ПРИЧИНЕНИЕ ВРЕДА ЖИЗНИ, ЗДОРОВЬЮ ГРАЖДАН, ВРЕДА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ЖИВОТНЫМ, РАСТЕНИЯМ И ОКРУЖАЮЩЕЙ СРЕДЕ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" w:name="100004"/>
      <w:bookmarkEnd w:id="2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 Федеральным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" w:anchor="100104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законом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" w:name="100005"/>
      <w:bookmarkEnd w:id="3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Утвердить прилагаемые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" w:anchor="100008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D2A44" w:rsidRPr="001D2A44" w:rsidRDefault="001D2A44" w:rsidP="001D2A44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" w:name="100006"/>
      <w:bookmarkEnd w:id="4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Председатель Правительства</w:t>
      </w:r>
    </w:p>
    <w:p w:rsidR="001D2A44" w:rsidRPr="001D2A44" w:rsidRDefault="001D2A44" w:rsidP="001D2A44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</w:t>
      </w:r>
    </w:p>
    <w:p w:rsidR="001D2A44" w:rsidRPr="001D2A44" w:rsidRDefault="001D2A44" w:rsidP="001D2A44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В.ПУТИН</w:t>
      </w:r>
    </w:p>
    <w:p w:rsidR="001D2A44" w:rsidRPr="001D2A44" w:rsidRDefault="001D2A44" w:rsidP="001D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2A44" w:rsidRPr="001D2A44" w:rsidRDefault="001D2A44" w:rsidP="001D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2A44" w:rsidRPr="001D2A44" w:rsidRDefault="001D2A44" w:rsidP="001D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2A44" w:rsidRPr="001D2A44" w:rsidRDefault="001D2A44" w:rsidP="001D2A44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" w:name="100007"/>
      <w:bookmarkEnd w:id="5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Утверждены</w:t>
      </w:r>
    </w:p>
    <w:p w:rsidR="001D2A44" w:rsidRPr="001D2A44" w:rsidRDefault="001D2A44" w:rsidP="001D2A44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Постановлением Правительства</w:t>
      </w:r>
    </w:p>
    <w:p w:rsidR="001D2A44" w:rsidRPr="001D2A44" w:rsidRDefault="001D2A44" w:rsidP="001D2A44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Российской Федерации</w:t>
      </w:r>
    </w:p>
    <w:p w:rsidR="001D2A44" w:rsidRPr="001D2A44" w:rsidRDefault="001D2A44" w:rsidP="001D2A44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3 сентября 2010 г. N 681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ПРАВИЛА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ОБРАЩЕНИЯ С ОТХОДАМИ ПРОИЗВОДСТВА И ПОТРЕБЛЕНИЯ В ЧАСТИ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ОСВЕТИТЕЛЬНЫХ УСТРОЙСТВ, ЭЛЕКТРИЧЕСКИХ ЛАМП, НЕНАДЛЕЖАЩИЕ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СБОР, НАКОПЛЕНИЕ, ИСПОЛЬЗОВАНИЕ, ОБЕЗВРЕЖИВАНИЕ,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ТРАНСПОРТИРОВАНИЕ И РАЗМЕЩЕНИЕ КОТОРЫХ МОЖЕТ ПОВЛЕЧЬ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ПРИЧИНЕНИЕ ВРЕДА ЖИЗНИ, ЗДОРОВЬЮ ГРАЖДАН, ВРЕДА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ЖИВОТНЫМ, РАСТЕНИЯМ И ОКРУЖАЮЩЕЙ СРЕДЕ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" w:name="100009"/>
      <w:bookmarkEnd w:id="6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I. ОБЩИЕ ПОЛОЖЕНИЯ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" w:name="100010"/>
      <w:bookmarkEnd w:id="7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" w:name="100011"/>
      <w:bookmarkEnd w:id="8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" w:name="100012"/>
      <w:bookmarkEnd w:id="9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Понятия, используемые в настоящих Правилах, означают следующее: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" w:name="100013"/>
      <w:bookmarkEnd w:id="10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1" w:name="100014"/>
      <w:bookmarkEnd w:id="11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" w:name="000001"/>
      <w:bookmarkStart w:id="13" w:name="100015"/>
      <w:bookmarkEnd w:id="12"/>
      <w:bookmarkEnd w:id="13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" w:name="100016"/>
      <w:bookmarkEnd w:id="14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" w:name="000002"/>
      <w:bookmarkStart w:id="16" w:name="100017"/>
      <w:bookmarkEnd w:id="15"/>
      <w:bookmarkEnd w:id="16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" w:name="000003"/>
      <w:bookmarkEnd w:id="17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8" w:name="000004"/>
      <w:bookmarkEnd w:id="18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9" w:name="000005"/>
      <w:bookmarkEnd w:id="19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0" w:name="100018"/>
      <w:bookmarkEnd w:id="20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1" w:name="100019"/>
      <w:bookmarkEnd w:id="21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II. ПОРЯДОК СБОРА И НАКОПЛЕНИЯ ОТРАБОТАННЫХ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РТУТЬСОДЕРЖАЩИХ ЛАМП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2" w:name="100020"/>
      <w:bookmarkEnd w:id="22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3" w:name="100021"/>
      <w:bookmarkEnd w:id="23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5. Накопление отработанных ртутьсодержащих ламп производится отдельно от других видов отходов.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4" w:name="000006"/>
      <w:bookmarkStart w:id="25" w:name="100022"/>
      <w:bookmarkEnd w:id="24"/>
      <w:bookmarkEnd w:id="25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6" w:name="000007"/>
      <w:bookmarkStart w:id="27" w:name="100023"/>
      <w:bookmarkEnd w:id="26"/>
      <w:bookmarkEnd w:id="27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8" w:name="000008"/>
      <w:bookmarkStart w:id="29" w:name="100024"/>
      <w:bookmarkEnd w:id="28"/>
      <w:bookmarkEnd w:id="29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0" w:name="000009"/>
      <w:bookmarkEnd w:id="30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8(1).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" w:anchor="100021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1" w:name="000010"/>
      <w:bookmarkEnd w:id="31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8(2).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2" w:name="100025"/>
      <w:bookmarkEnd w:id="32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3" w:name="100026"/>
      <w:bookmarkEnd w:id="33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III. ПОРЯДОК ТРАНСПОРТИРОВАНИЯ ОТРАБОТАННЫХ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РТУТЬСОДЕРЖАЩИХ ЛАМП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4" w:name="100027"/>
      <w:bookmarkEnd w:id="34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" w:name="000011"/>
      <w:bookmarkEnd w:id="35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" w:name="000012"/>
      <w:bookmarkStart w:id="37" w:name="100028"/>
      <w:bookmarkEnd w:id="36"/>
      <w:bookmarkEnd w:id="37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" w:name="100029"/>
      <w:bookmarkEnd w:id="38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" w:name="100030"/>
      <w:bookmarkEnd w:id="39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IV. ПОРЯДОК РАЗМЕЩЕНИЯ (ХРАНЕНИЕ И ЗАХОРОНЕНИЕ)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ОТРАБОТАННЫХ РТУТЬСОДЕРЖАЩИХ ЛАМП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" w:name="100031"/>
      <w:bookmarkEnd w:id="40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" w:name="100032"/>
      <w:bookmarkEnd w:id="41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" w:name="100033"/>
      <w:bookmarkEnd w:id="42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" w:name="100034"/>
      <w:bookmarkEnd w:id="43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16. Не допускается совместное хранение поврежденных и неповрежденных ртутьсодержащих ламп.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" w:name="000013"/>
      <w:bookmarkStart w:id="45" w:name="100035"/>
      <w:bookmarkEnd w:id="44"/>
      <w:bookmarkEnd w:id="45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17. Хранение поврежденных ртутьсодержащих ламп осуществляется в таре.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" w:name="100036"/>
      <w:bookmarkEnd w:id="46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18. Размещение отработанных ртутьсодержащих ламп не может осуществляться путем захоронения.</w:t>
      </w:r>
    </w:p>
    <w:p w:rsidR="001D2A44" w:rsidRPr="001D2A44" w:rsidRDefault="001D2A44" w:rsidP="001D2A44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" w:name="100037"/>
      <w:bookmarkEnd w:id="47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V. ПОРЯДОК ОБЕЗВРЕЖИВАНИЯ И ИСПОЛЬЗОВАНИЯ ОТРАБОТАННЫХ</w:t>
      </w:r>
    </w:p>
    <w:p w:rsidR="001D2A44" w:rsidRPr="001D2A44" w:rsidRDefault="001D2A44" w:rsidP="001D2A44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РТУТЬСОДЕРЖАЩИХ ЛАМП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" w:name="100038"/>
      <w:bookmarkEnd w:id="48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" w:name="100039"/>
      <w:bookmarkEnd w:id="49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" w:name="100040"/>
      <w:bookmarkEnd w:id="50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демеркуризационного</w:t>
      </w:r>
      <w:proofErr w:type="spellEnd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1" w:name="100041"/>
      <w:bookmarkEnd w:id="51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1D2A44" w:rsidRPr="001D2A44" w:rsidRDefault="001D2A44" w:rsidP="001D2A44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D2A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D2A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D2A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spacing w:before="497" w:after="166" w:line="4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</w:pPr>
      <w:r w:rsidRPr="001D2A44"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  <w:t>Судебная практика и законодательство — Постановление Правительства РФ от 03.09.2010 N 681 (ред. от 01.10.2013)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</w:p>
    <w:p w:rsidR="001D2A44" w:rsidRPr="001D2A44" w:rsidRDefault="001D2A44" w:rsidP="001D2A44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D2A44" w:rsidRPr="001D2A44" w:rsidRDefault="001D2A44" w:rsidP="001D2A44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7" w:anchor="100003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Определение Верховного Суда РФ от 26.01.2015 N АКПИ15-80 </w:t>
        </w:r>
      </w:hyperlink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" w:name="100003"/>
      <w:bookmarkEnd w:id="52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Судья Верховного Суда Российской Федерации Назарова А.М., изучив заявление С. об оспаривании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" w:anchor="100012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пунктов 2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" w:anchor="000006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6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0" w:anchor="000007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7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1" w:anchor="100025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9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2" w:anchor="100027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10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3" w:anchor="000012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11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4" w:anchor="000013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17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3 сентября 2010 г. N 681 (далее - Правила),</w:t>
      </w:r>
    </w:p>
    <w:p w:rsidR="001D2A44" w:rsidRPr="001D2A44" w:rsidRDefault="001D2A44" w:rsidP="001D2A44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15" w:anchor="100008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Решение Верховного Суда РФ от 14.04.2015 N АКПИ15-80 </w:t>
        </w:r>
      </w:hyperlink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рассмотрев в открытом судебном заседании административное дело по заявлению С. о признании недействующими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6" w:anchor="100013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абзацев второго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7" w:anchor="000002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шестого пункта 2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8" w:anchor="000006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пунктов 6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9" w:anchor="100025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9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3 сентября 2010 г. N 681,</w:t>
      </w:r>
    </w:p>
    <w:p w:rsidR="001D2A44" w:rsidRPr="001D2A44" w:rsidRDefault="001D2A44" w:rsidP="001D2A44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0" w:anchor="100008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Апелляционное определение Верховного Суда РФ от 13.08.2015 N АПЛ15-306 </w:t>
        </w:r>
      </w:hyperlink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3" w:name="100008"/>
      <w:bookmarkEnd w:id="53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рассмотрела в открытом судебном заседании административное дело по заявлению С.М. о признании недействующими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1" w:anchor="100013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абзацев второго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2" w:anchor="000002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шестого пункта 2</w:t>
        </w:r>
      </w:hyperlink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3" w:anchor="000006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пунктов 6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4" w:anchor="100025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9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3 сентября 2010 г. N 681,</w:t>
      </w:r>
    </w:p>
    <w:p w:rsidR="001D2A44" w:rsidRPr="001D2A44" w:rsidRDefault="001D2A44" w:rsidP="001D2A44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5" w:anchor="100795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Приказ </w:t>
        </w:r>
        <w:proofErr w:type="spellStart"/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Росприроднадзора</w:t>
        </w:r>
        <w:proofErr w:type="spellEnd"/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от 18.10.2016 N 670 "О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(надзора)" (вместе с "Порядком ведения Перечня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(надзора)")</w:t>
        </w:r>
      </w:hyperlink>
    </w:p>
    <w:bookmarkStart w:id="54" w:name="100795"/>
    <w:bookmarkEnd w:id="54"/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"http://legalacts.ru/doc/postanovlenie-pravitelstva-rf-ot-03092010-n-681/" \l "100008" </w:instrTex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1D2A44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Правила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1D2A44" w:rsidRPr="001D2A44" w:rsidRDefault="001D2A44" w:rsidP="001D2A44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6" w:anchor="100059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Главного государственного санитарного врача РФ от 28.09.2015 N 61 "Об утверждении СП 2.1.2.3304-15 "Санитарно-эпидемиологические требования к размещению, устройству и содержанию объектов спорта" (вместе с "СП 2.1.2.3304-15. Санитарно-эпидемиологические правила и нормативы...") (Зарегистрировано в Минюсте России 29.10.2015 N 39547)</w:t>
        </w:r>
      </w:hyperlink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" w:name="100059"/>
      <w:bookmarkEnd w:id="55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&lt;1&gt;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7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(Собрание законодательства Российской Федерации, 2010, N 37, ст. 4695; 2013, N 40 (часть III), ст. 5086).</w:t>
      </w:r>
    </w:p>
    <w:p w:rsidR="001D2A44" w:rsidRPr="001D2A44" w:rsidRDefault="001D2A44" w:rsidP="001D2A44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1D2A44" w:rsidRPr="001D2A44" w:rsidRDefault="001D2A44" w:rsidP="001D2A44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8" w:anchor="100248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Постановление Главного государственного санитарного врача РФ от 09.02.2015 N 8 "Об утверждении </w:t>
        </w:r>
        <w:proofErr w:type="spellStart"/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СанПиН</w:t>
        </w:r>
        <w:proofErr w:type="spellEnd"/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(вместе с "</w:t>
        </w:r>
        <w:proofErr w:type="spellStart"/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СанПиН</w:t>
        </w:r>
        <w:proofErr w:type="spellEnd"/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2.4.3259-15. Санитарно-эпидемиологические правила и нормативы...") (Зарегистрировано в Минюсте России 26.03.2015 N 36571)</w:t>
        </w:r>
      </w:hyperlink>
    </w:p>
    <w:p w:rsidR="001D2A44" w:rsidRPr="001D2A44" w:rsidRDefault="001D2A44" w:rsidP="001D2A44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6" w:name="100248"/>
      <w:bookmarkEnd w:id="56"/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</w:t>
      </w:r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9" w:anchor="100008" w:history="1">
        <w:r w:rsidRPr="001D2A44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1D2A44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1D2A44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 Федерации от 03.09.2010 N 681 (Собрание законодательства Российской Федерации, 2010, N 37, ст. 4695; 2013, N 40 (часть III), ст. 5086)).</w:t>
      </w:r>
    </w:p>
    <w:p w:rsidR="0063354D" w:rsidRDefault="0063354D"/>
    <w:sectPr w:rsidR="0063354D" w:rsidSect="001D2A44">
      <w:pgSz w:w="11906" w:h="16838"/>
      <w:pgMar w:top="720" w:right="424" w:bottom="568" w:left="42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2A44"/>
    <w:rsid w:val="00104333"/>
    <w:rsid w:val="00156E57"/>
    <w:rsid w:val="00174CF1"/>
    <w:rsid w:val="001D2A44"/>
    <w:rsid w:val="003D7184"/>
    <w:rsid w:val="0063354D"/>
    <w:rsid w:val="0076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4D"/>
  </w:style>
  <w:style w:type="paragraph" w:styleId="1">
    <w:name w:val="heading 1"/>
    <w:basedOn w:val="a"/>
    <w:link w:val="10"/>
    <w:uiPriority w:val="9"/>
    <w:qFormat/>
    <w:rsid w:val="001D2A4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A4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A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D2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D2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A44"/>
  </w:style>
  <w:style w:type="character" w:styleId="a3">
    <w:name w:val="Hyperlink"/>
    <w:basedOn w:val="a0"/>
    <w:uiPriority w:val="99"/>
    <w:semiHidden/>
    <w:unhideWhenUsed/>
    <w:rsid w:val="001D2A44"/>
    <w:rPr>
      <w:color w:val="0000FF"/>
      <w:u w:val="single"/>
    </w:rPr>
  </w:style>
  <w:style w:type="paragraph" w:customStyle="1" w:styleId="pright">
    <w:name w:val="pright"/>
    <w:basedOn w:val="a"/>
    <w:rsid w:val="001D2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2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3092010-n-681/" TargetMode="External"/><Relationship Id="rId13" Type="http://schemas.openxmlformats.org/officeDocument/2006/relationships/hyperlink" Target="http://legalacts.ru/doc/postanovlenie-pravitelstva-rf-ot-03092010-n-681/" TargetMode="External"/><Relationship Id="rId18" Type="http://schemas.openxmlformats.org/officeDocument/2006/relationships/hyperlink" Target="http://legalacts.ru/doc/postanovlenie-pravitelstva-rf-ot-03092010-n-681/" TargetMode="External"/><Relationship Id="rId26" Type="http://schemas.openxmlformats.org/officeDocument/2006/relationships/hyperlink" Target="http://legalacts.ru/doc/postanovlenie-glavnogo-gosudarstvennogo-sanitarnogo-vracha-rf-ot-28092015-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03092010-n-681/" TargetMode="External"/><Relationship Id="rId7" Type="http://schemas.openxmlformats.org/officeDocument/2006/relationships/hyperlink" Target="http://legalacts.ru/doc/opredelenie-verkhovnogo-suda-rf-ot-26012015-n/" TargetMode="External"/><Relationship Id="rId12" Type="http://schemas.openxmlformats.org/officeDocument/2006/relationships/hyperlink" Target="http://legalacts.ru/doc/postanovlenie-pravitelstva-rf-ot-03092010-n-681/" TargetMode="External"/><Relationship Id="rId17" Type="http://schemas.openxmlformats.org/officeDocument/2006/relationships/hyperlink" Target="http://legalacts.ru/doc/postanovlenie-pravitelstva-rf-ot-03092010-n-681/" TargetMode="External"/><Relationship Id="rId25" Type="http://schemas.openxmlformats.org/officeDocument/2006/relationships/hyperlink" Target="http://legalacts.ru/doc/prikaz-rosprirodnadzora-ot-18102016-n-670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03092010-n-681/" TargetMode="External"/><Relationship Id="rId20" Type="http://schemas.openxmlformats.org/officeDocument/2006/relationships/hyperlink" Target="http://legalacts.ru/doc/apelljatsionnoe-opredelenie-verkhovnogo-suda-rf-ot-13082015-n-apl15-306/" TargetMode="External"/><Relationship Id="rId29" Type="http://schemas.openxmlformats.org/officeDocument/2006/relationships/hyperlink" Target="http://legalacts.ru/doc/postanovlenie-pravitelstva-rf-ot-03092010-n-681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3082006-n-491/" TargetMode="External"/><Relationship Id="rId11" Type="http://schemas.openxmlformats.org/officeDocument/2006/relationships/hyperlink" Target="http://legalacts.ru/doc/postanovlenie-pravitelstva-rf-ot-03092010-n-681/" TargetMode="External"/><Relationship Id="rId24" Type="http://schemas.openxmlformats.org/officeDocument/2006/relationships/hyperlink" Target="http://legalacts.ru/doc/postanovlenie-pravitelstva-rf-ot-03092010-n-681/" TargetMode="External"/><Relationship Id="rId5" Type="http://schemas.openxmlformats.org/officeDocument/2006/relationships/hyperlink" Target="http://legalacts.ru/doc/postanovlenie-pravitelstva-rf-ot-03092010-n-681/" TargetMode="External"/><Relationship Id="rId15" Type="http://schemas.openxmlformats.org/officeDocument/2006/relationships/hyperlink" Target="http://legalacts.ru/doc/reshenie-verkhovnogo-suda-rf-ot-14042015-n/" TargetMode="External"/><Relationship Id="rId23" Type="http://schemas.openxmlformats.org/officeDocument/2006/relationships/hyperlink" Target="http://legalacts.ru/doc/postanovlenie-pravitelstva-rf-ot-03092010-n-681/" TargetMode="External"/><Relationship Id="rId28" Type="http://schemas.openxmlformats.org/officeDocument/2006/relationships/hyperlink" Target="http://legalacts.ru/doc/postanovlenie-glavnogo-gosudarstvennogo-sanitarnogo-vracha-rf-ot-09022015-n_2/" TargetMode="External"/><Relationship Id="rId10" Type="http://schemas.openxmlformats.org/officeDocument/2006/relationships/hyperlink" Target="http://legalacts.ru/doc/postanovlenie-pravitelstva-rf-ot-03092010-n-681/" TargetMode="External"/><Relationship Id="rId19" Type="http://schemas.openxmlformats.org/officeDocument/2006/relationships/hyperlink" Target="http://legalacts.ru/doc/postanovlenie-pravitelstva-rf-ot-03092010-n-681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legalacts.ru/doc/FZ-ob-jenergosberezhenii-i-o-povyshenii-jenergeticheskoj-jeffektivnosti-i-o-vnesenii-izmenenij-v-otdelnye-zakonodatelnye-akty-Rossijskoj-Federacii/" TargetMode="External"/><Relationship Id="rId9" Type="http://schemas.openxmlformats.org/officeDocument/2006/relationships/hyperlink" Target="http://legalacts.ru/doc/postanovlenie-pravitelstva-rf-ot-03092010-n-681/" TargetMode="External"/><Relationship Id="rId14" Type="http://schemas.openxmlformats.org/officeDocument/2006/relationships/hyperlink" Target="http://legalacts.ru/doc/postanovlenie-pravitelstva-rf-ot-03092010-n-681/" TargetMode="External"/><Relationship Id="rId22" Type="http://schemas.openxmlformats.org/officeDocument/2006/relationships/hyperlink" Target="http://legalacts.ru/doc/postanovlenie-pravitelstva-rf-ot-03092010-n-681/" TargetMode="External"/><Relationship Id="rId27" Type="http://schemas.openxmlformats.org/officeDocument/2006/relationships/hyperlink" Target="http://legalacts.ru/doc/postanovlenie-pravitelstva-rf-ot-03092010-n-68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2865</Words>
  <Characters>16333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2017-02-14T09:40:00Z</dcterms:created>
  <dcterms:modified xsi:type="dcterms:W3CDTF">2017-02-14T09:42:00Z</dcterms:modified>
</cp:coreProperties>
</file>